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1A32" w14:textId="77777777" w:rsidR="0031707B" w:rsidRPr="0031707B" w:rsidRDefault="0031707B" w:rsidP="0031707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31707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Revenue Diversification: Two Paths, Two Outcomes</w:t>
      </w:r>
    </w:p>
    <w:p w14:paraId="20F9EBA6" w14:textId="77777777" w:rsidR="0031707B" w:rsidRPr="0031707B" w:rsidRDefault="0031707B" w:rsidP="0031707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392EBDD2">
          <v:rect id="_x0000_i1025" style="width:0;height:1.5pt" o:hralign="center" o:hrstd="t" o:hr="t" fillcolor="#a0a0a0" stroked="f"/>
        </w:pict>
      </w:r>
    </w:p>
    <w:p w14:paraId="2ED1FFF8" w14:textId="77777777" w:rsidR="0031707B" w:rsidRPr="0031707B" w:rsidRDefault="0031707B" w:rsidP="0031707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31707B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Case Study A: </w:t>
      </w:r>
      <w:r w:rsidRPr="0031707B">
        <w:rPr>
          <w:rFonts w:ascii="Segoe UI" w:eastAsia="Times New Roman" w:hAnsi="Segoe UI" w:cs="Segoe UI"/>
          <w:b/>
          <w:bCs/>
          <w:i/>
          <w:iCs/>
          <w:kern w:val="0"/>
          <w:sz w:val="36"/>
          <w:szCs w:val="36"/>
          <w14:ligatures w14:val="none"/>
        </w:rPr>
        <w:t>Steady Steps Toward Stability</w:t>
      </w:r>
    </w:p>
    <w:p w14:paraId="49559D91" w14:textId="77777777" w:rsidR="0031707B" w:rsidRPr="0031707B" w:rsidRDefault="0031707B" w:rsidP="0031707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Organization:</w:t>
      </w: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BrightPath Youth Services</w:t>
      </w: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31707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Mission:</w:t>
      </w: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After</w:t>
      </w: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school and mentoring programs for rural middle</w:t>
      </w: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school students</w:t>
      </w: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31707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Primary Risk:</w:t>
      </w: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60% of revenue tied to a single federal grant</w:t>
      </w:r>
    </w:p>
    <w:p w14:paraId="748AA0A9" w14:textId="77777777" w:rsidR="0031707B" w:rsidRPr="0031707B" w:rsidRDefault="0031707B" w:rsidP="0031707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31707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What Happened</w:t>
      </w:r>
    </w:p>
    <w:p w14:paraId="05425D32" w14:textId="1F385A90" w:rsidR="0031707B" w:rsidRPr="0031707B" w:rsidRDefault="0031707B" w:rsidP="0031707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There was a lot of uncertainty around the cancelation of federal grants. </w:t>
      </w: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Rather than reacting to potential grant loss with urgency and panic, BrightPath’s leadership chose to slow down. Staff and board mapped their full revenue picture and asked </w:t>
      </w:r>
      <w:proofErr w:type="gramStart"/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not</w:t>
      </w:r>
      <w:proofErr w:type="gramEnd"/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“What can we fundraise?” but </w:t>
      </w:r>
      <w:r w:rsidRPr="0031707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“Where is our risk concentrated?”</w:t>
      </w:r>
    </w:p>
    <w:p w14:paraId="5DFE0CEC" w14:textId="77777777" w:rsidR="0031707B" w:rsidRPr="0031707B" w:rsidRDefault="0031707B" w:rsidP="0031707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They realized that:</w:t>
      </w:r>
    </w:p>
    <w:p w14:paraId="764297B1" w14:textId="77777777" w:rsidR="0031707B" w:rsidRPr="0031707B" w:rsidRDefault="0031707B" w:rsidP="0031707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Most major funding was outside their control</w:t>
      </w:r>
    </w:p>
    <w:p w14:paraId="73C258F5" w14:textId="77777777" w:rsidR="0031707B" w:rsidRPr="0031707B" w:rsidRDefault="0031707B" w:rsidP="0031707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Staff already had valuable training expertise</w:t>
      </w:r>
    </w:p>
    <w:p w14:paraId="01DBB25B" w14:textId="77777777" w:rsidR="0031707B" w:rsidRPr="0031707B" w:rsidRDefault="0031707B" w:rsidP="0031707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Small, flexible revenue streams could reduce pressure without mission drift</w:t>
      </w:r>
    </w:p>
    <w:p w14:paraId="64561091" w14:textId="77777777" w:rsidR="0031707B" w:rsidRPr="0031707B" w:rsidRDefault="0031707B" w:rsidP="0031707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31707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What They Tried</w:t>
      </w:r>
    </w:p>
    <w:p w14:paraId="54C67DC4" w14:textId="77777777" w:rsidR="0031707B" w:rsidRPr="0031707B" w:rsidRDefault="0031707B" w:rsidP="0031707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 </w:t>
      </w:r>
      <w:r w:rsidRPr="0031707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modest, fee</w:t>
      </w:r>
      <w:r w:rsidRPr="0031707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noBreakHyphen/>
        <w:t>based training</w:t>
      </w: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for schools using existing curriculum</w:t>
      </w:r>
    </w:p>
    <w:p w14:paraId="5DD3B90B" w14:textId="77777777" w:rsidR="0031707B" w:rsidRPr="0031707B" w:rsidRDefault="0031707B" w:rsidP="0031707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 </w:t>
      </w:r>
      <w:r w:rsidRPr="0031707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monthly giving program</w:t>
      </w: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focused on current donors, not new events</w:t>
      </w:r>
    </w:p>
    <w:p w14:paraId="1E6EC9F8" w14:textId="77777777" w:rsidR="0031707B" w:rsidRPr="0031707B" w:rsidRDefault="0031707B" w:rsidP="0031707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Both pilots were intentionally limited and regularly reviewed.</w:t>
      </w:r>
    </w:p>
    <w:p w14:paraId="1B46E2F2" w14:textId="77777777" w:rsidR="0031707B" w:rsidRPr="0031707B" w:rsidRDefault="0031707B" w:rsidP="0031707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31707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Results</w:t>
      </w:r>
    </w:p>
    <w:p w14:paraId="097D2C11" w14:textId="77777777" w:rsidR="0031707B" w:rsidRPr="0031707B" w:rsidRDefault="0031707B" w:rsidP="0031707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No single revenue source exceeded 40%</w:t>
      </w:r>
    </w:p>
    <w:p w14:paraId="22104CF6" w14:textId="77777777" w:rsidR="0031707B" w:rsidRPr="0031707B" w:rsidRDefault="0031707B" w:rsidP="0031707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Staff anxiety decreased</w:t>
      </w:r>
    </w:p>
    <w:p w14:paraId="66654977" w14:textId="77777777" w:rsidR="0031707B" w:rsidRPr="0031707B" w:rsidRDefault="0031707B" w:rsidP="0031707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Leadership gained more planning flexibility</w:t>
      </w:r>
    </w:p>
    <w:p w14:paraId="56C03ABD" w14:textId="77777777" w:rsidR="0031707B" w:rsidRPr="0031707B" w:rsidRDefault="0031707B" w:rsidP="0031707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Key Theme:</w:t>
      </w: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Diversification as </w:t>
      </w:r>
      <w:r w:rsidRPr="0031707B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risk management</w:t>
      </w: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not hustle.</w:t>
      </w:r>
    </w:p>
    <w:p w14:paraId="55F57136" w14:textId="3576BA7A" w:rsidR="0031707B" w:rsidRDefault="0031707B" w:rsidP="0031707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7A3DAE7B" w14:textId="77777777" w:rsidR="0031707B" w:rsidRDefault="0031707B" w:rsidP="0031707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</w:p>
    <w:p w14:paraId="63178946" w14:textId="25B91341" w:rsidR="0031707B" w:rsidRPr="0031707B" w:rsidRDefault="0031707B" w:rsidP="0031707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lastRenderedPageBreak/>
        <w:t>C</w:t>
      </w:r>
      <w:r w:rsidRPr="0031707B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ase Study B: </w:t>
      </w:r>
      <w:r w:rsidRPr="0031707B">
        <w:rPr>
          <w:rFonts w:ascii="Segoe UI" w:eastAsia="Times New Roman" w:hAnsi="Segoe UI" w:cs="Segoe UI"/>
          <w:b/>
          <w:bCs/>
          <w:i/>
          <w:iCs/>
          <w:kern w:val="0"/>
          <w:sz w:val="36"/>
          <w:szCs w:val="36"/>
          <w14:ligatures w14:val="none"/>
        </w:rPr>
        <w:t>Busy, Broke, and Burned Out</w:t>
      </w:r>
    </w:p>
    <w:p w14:paraId="18FA3200" w14:textId="77777777" w:rsidR="0031707B" w:rsidRPr="0031707B" w:rsidRDefault="0031707B" w:rsidP="0031707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Organization:</w:t>
      </w: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Community Roots Housing Alliance</w:t>
      </w: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31707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Mission:</w:t>
      </w: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Housing stabilization and tenant advocacy</w:t>
      </w: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31707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Primary Risk:</w:t>
      </w: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Heavy reliance on contracts and one major event</w:t>
      </w:r>
    </w:p>
    <w:p w14:paraId="515CEF3C" w14:textId="77777777" w:rsidR="0031707B" w:rsidRPr="0031707B" w:rsidRDefault="0031707B" w:rsidP="0031707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31707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What Happened</w:t>
      </w:r>
    </w:p>
    <w:p w14:paraId="7552A457" w14:textId="77777777" w:rsidR="0031707B" w:rsidRPr="0031707B" w:rsidRDefault="0031707B" w:rsidP="0031707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When </w:t>
      </w:r>
      <w:proofErr w:type="gramStart"/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 contract</w:t>
      </w:r>
      <w:proofErr w:type="gramEnd"/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was delayed, leadership declared diversification an emergency. Staff were asked to generate revenue ideas quickly—without a shared framework for evaluating them.</w:t>
      </w:r>
    </w:p>
    <w:p w14:paraId="7E778BBF" w14:textId="77777777" w:rsidR="0031707B" w:rsidRPr="0031707B" w:rsidRDefault="0031707B" w:rsidP="0031707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Ideas multiplied faster than capacity.</w:t>
      </w:r>
    </w:p>
    <w:p w14:paraId="4B391F30" w14:textId="77777777" w:rsidR="0031707B" w:rsidRPr="0031707B" w:rsidRDefault="0031707B" w:rsidP="0031707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31707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What They Tried</w:t>
      </w:r>
    </w:p>
    <w:p w14:paraId="696E5791" w14:textId="77777777" w:rsidR="0031707B" w:rsidRPr="0031707B" w:rsidRDefault="0031707B" w:rsidP="0031707B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 consulting arm with unclear pricing</w:t>
      </w:r>
    </w:p>
    <w:p w14:paraId="49223B6E" w14:textId="77777777" w:rsidR="0031707B" w:rsidRPr="0031707B" w:rsidRDefault="0031707B" w:rsidP="0031707B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More grant applications</w:t>
      </w:r>
    </w:p>
    <w:p w14:paraId="414EB810" w14:textId="77777777" w:rsidR="0031707B" w:rsidRPr="0031707B" w:rsidRDefault="0031707B" w:rsidP="0031707B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Two additional fundraising events</w:t>
      </w:r>
    </w:p>
    <w:p w14:paraId="03F81422" w14:textId="77777777" w:rsidR="0031707B" w:rsidRPr="0031707B" w:rsidRDefault="0031707B" w:rsidP="0031707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Every idea moved forward. Few were assessed for </w:t>
      </w:r>
      <w:proofErr w:type="gramStart"/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fit</w:t>
      </w:r>
      <w:proofErr w:type="gramEnd"/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or sustainability.</w:t>
      </w:r>
    </w:p>
    <w:p w14:paraId="5F29196B" w14:textId="77777777" w:rsidR="0031707B" w:rsidRPr="0031707B" w:rsidRDefault="0031707B" w:rsidP="0031707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31707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Results</w:t>
      </w:r>
    </w:p>
    <w:p w14:paraId="46C0F922" w14:textId="77777777" w:rsidR="0031707B" w:rsidRPr="0031707B" w:rsidRDefault="0031707B" w:rsidP="0031707B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Short</w:t>
      </w: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term revenue increased—but unpredictably</w:t>
      </w:r>
    </w:p>
    <w:p w14:paraId="74227054" w14:textId="77777777" w:rsidR="0031707B" w:rsidRPr="0031707B" w:rsidRDefault="0031707B" w:rsidP="0031707B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Staff burnout rose sharply</w:t>
      </w:r>
    </w:p>
    <w:p w14:paraId="683C44B1" w14:textId="77777777" w:rsidR="0031707B" w:rsidRPr="0031707B" w:rsidRDefault="0031707B" w:rsidP="0031707B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Programs suffered</w:t>
      </w:r>
    </w:p>
    <w:p w14:paraId="6B243601" w14:textId="77777777" w:rsidR="0031707B" w:rsidRPr="0031707B" w:rsidRDefault="0031707B" w:rsidP="0031707B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Most new efforts were abandoned within 18 months</w:t>
      </w:r>
    </w:p>
    <w:p w14:paraId="6738C04B" w14:textId="77777777" w:rsidR="0031707B" w:rsidRPr="0031707B" w:rsidRDefault="0031707B" w:rsidP="0031707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Key Theme:</w:t>
      </w: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Diversification as </w:t>
      </w:r>
      <w:r w:rsidRPr="0031707B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addition</w:t>
      </w: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not strategy.</w:t>
      </w:r>
    </w:p>
    <w:p w14:paraId="0735E7DF" w14:textId="77777777" w:rsidR="0031707B" w:rsidRPr="0031707B" w:rsidRDefault="0031707B" w:rsidP="0031707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756B36FF">
          <v:rect id="_x0000_i1027" style="width:0;height:1.5pt" o:hralign="center" o:hrstd="t" o:hr="t" fillcolor="#a0a0a0" stroked="f"/>
        </w:pict>
      </w:r>
    </w:p>
    <w:p w14:paraId="08E0855A" w14:textId="77777777" w:rsidR="0031707B" w:rsidRPr="0031707B" w:rsidRDefault="0031707B" w:rsidP="0031707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707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39D6E245">
          <v:rect id="_x0000_i1029" style="width:0;height:1.5pt" o:hralign="center" o:hrstd="t" o:hr="t" fillcolor="#a0a0a0" stroked="f"/>
        </w:pict>
      </w:r>
    </w:p>
    <w:sectPr w:rsidR="0031707B" w:rsidRPr="00317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674"/>
    <w:multiLevelType w:val="multilevel"/>
    <w:tmpl w:val="32322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A7AA4"/>
    <w:multiLevelType w:val="multilevel"/>
    <w:tmpl w:val="71BA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87CD6"/>
    <w:multiLevelType w:val="multilevel"/>
    <w:tmpl w:val="DCDE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90D34"/>
    <w:multiLevelType w:val="multilevel"/>
    <w:tmpl w:val="473A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6127C"/>
    <w:multiLevelType w:val="multilevel"/>
    <w:tmpl w:val="CB84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7421B"/>
    <w:multiLevelType w:val="multilevel"/>
    <w:tmpl w:val="B1A4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D4F09"/>
    <w:multiLevelType w:val="multilevel"/>
    <w:tmpl w:val="9630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A6E86"/>
    <w:multiLevelType w:val="multilevel"/>
    <w:tmpl w:val="C2E0C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BD3365"/>
    <w:multiLevelType w:val="multilevel"/>
    <w:tmpl w:val="C2F8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AF7EB9"/>
    <w:multiLevelType w:val="multilevel"/>
    <w:tmpl w:val="A6A8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017496">
    <w:abstractNumId w:val="3"/>
  </w:num>
  <w:num w:numId="2" w16cid:durableId="1243489246">
    <w:abstractNumId w:val="5"/>
  </w:num>
  <w:num w:numId="3" w16cid:durableId="505633401">
    <w:abstractNumId w:val="4"/>
  </w:num>
  <w:num w:numId="4" w16cid:durableId="1097360330">
    <w:abstractNumId w:val="6"/>
  </w:num>
  <w:num w:numId="5" w16cid:durableId="304621851">
    <w:abstractNumId w:val="9"/>
  </w:num>
  <w:num w:numId="6" w16cid:durableId="1677659051">
    <w:abstractNumId w:val="8"/>
  </w:num>
  <w:num w:numId="7" w16cid:durableId="1667975839">
    <w:abstractNumId w:val="7"/>
  </w:num>
  <w:num w:numId="8" w16cid:durableId="793134468">
    <w:abstractNumId w:val="0"/>
  </w:num>
  <w:num w:numId="9" w16cid:durableId="1731881644">
    <w:abstractNumId w:val="2"/>
  </w:num>
  <w:num w:numId="10" w16cid:durableId="1804998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7B"/>
    <w:rsid w:val="000A65D9"/>
    <w:rsid w:val="0031707B"/>
    <w:rsid w:val="0067024E"/>
    <w:rsid w:val="00987748"/>
    <w:rsid w:val="00CA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6EC98"/>
  <w15:chartTrackingRefBased/>
  <w15:docId w15:val="{916AF15E-7251-4061-8505-CADFCA13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7173561BB0C4CB73AA5A2993F40BA" ma:contentTypeVersion="16" ma:contentTypeDescription="Create a new document." ma:contentTypeScope="" ma:versionID="44847c67a82006394cfb1321d009fa8d">
  <xsd:schema xmlns:xsd="http://www.w3.org/2001/XMLSchema" xmlns:xs="http://www.w3.org/2001/XMLSchema" xmlns:p="http://schemas.microsoft.com/office/2006/metadata/properties" xmlns:ns2="b52f6a33-22b1-4fb1-9104-2891e5f29460" xmlns:ns3="cdacf2b0-8bd2-49e9-b209-f3a7fac86261" targetNamespace="http://schemas.microsoft.com/office/2006/metadata/properties" ma:root="true" ma:fieldsID="7e2fe3654ec30ad88a3f506f41b08167" ns2:_="" ns3:_="">
    <xsd:import namespace="b52f6a33-22b1-4fb1-9104-2891e5f29460"/>
    <xsd:import namespace="cdacf2b0-8bd2-49e9-b209-f3a7fac86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f6a33-22b1-4fb1-9104-2891e5f29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7427ce-f508-443a-b0fe-75de18365e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cf2b0-8bd2-49e9-b209-f3a7fac8626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1ea64e-61c2-4426-a403-a2c09462bc96}" ma:internalName="TaxCatchAll" ma:showField="CatchAllData" ma:web="cdacf2b0-8bd2-49e9-b209-f3a7fac86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2f6a33-22b1-4fb1-9104-2891e5f29460">
      <Terms xmlns="http://schemas.microsoft.com/office/infopath/2007/PartnerControls"/>
    </lcf76f155ced4ddcb4097134ff3c332f>
    <TaxCatchAll xmlns="cdacf2b0-8bd2-49e9-b209-f3a7fac86261" xsi:nil="true"/>
  </documentManagement>
</p:properties>
</file>

<file path=customXml/itemProps1.xml><?xml version="1.0" encoding="utf-8"?>
<ds:datastoreItem xmlns:ds="http://schemas.openxmlformats.org/officeDocument/2006/customXml" ds:itemID="{FD523350-35E5-48BC-8985-4D8AF59651FE}"/>
</file>

<file path=customXml/itemProps2.xml><?xml version="1.0" encoding="utf-8"?>
<ds:datastoreItem xmlns:ds="http://schemas.openxmlformats.org/officeDocument/2006/customXml" ds:itemID="{7B24D90D-5732-4BCB-A74C-B435030EC052}"/>
</file>

<file path=customXml/itemProps3.xml><?xml version="1.0" encoding="utf-8"?>
<ds:datastoreItem xmlns:ds="http://schemas.openxmlformats.org/officeDocument/2006/customXml" ds:itemID="{EB1EC30B-C63B-4AC2-9A28-F8C336B85D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McIntire</dc:creator>
  <cp:keywords/>
  <dc:description/>
  <cp:lastModifiedBy>Mary Beth McIntire</cp:lastModifiedBy>
  <cp:revision>2</cp:revision>
  <dcterms:created xsi:type="dcterms:W3CDTF">2026-04-27T20:17:00Z</dcterms:created>
  <dcterms:modified xsi:type="dcterms:W3CDTF">2026-04-27T20:28:00Z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0x010100C097173561BB0C4CB73AA5A2993F40BA</vt:lpwstr>
  </property>
</Properties>
</file>